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Reading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Demonstrate sound principles of reading critically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Grammar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Use punctuation correctly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Craft short essays employing a variety of organizational patterns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Discussion Question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Outline the relationships between main ideas and subordinate ideas within assigned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Write analytical paragraphs in response to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